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Информационное письмо Росфинмониторинга от 04.12.2018 N 57</w:t>
              <w:br/>
              <w:t xml:space="preserve">"О методических рекомендациях по установлению сведений о бенефициарных владельцах клиентов"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ИНФОРМАЦИОННОЕ ПИСЬМО</w:t>
      </w:r>
    </w:p>
    <w:p>
      <w:pPr>
        <w:pStyle w:val="2"/>
        <w:jc w:val="center"/>
      </w:pPr>
      <w:r>
        <w:rPr>
          <w:sz w:val="20"/>
        </w:rPr>
        <w:t xml:space="preserve">от 4 декабря 2018 г. N 57</w:t>
      </w:r>
    </w:p>
    <w:p>
      <w:pPr>
        <w:pStyle w:val="2"/>
        <w:jc w:val="center"/>
      </w:pPr>
      <w:r>
        <w:rPr>
          <w:sz w:val="20"/>
        </w:rPr>
      </w:r>
    </w:p>
    <w:p>
      <w:pPr>
        <w:pStyle w:val="2"/>
        <w:jc w:val="center"/>
      </w:pPr>
      <w:r>
        <w:rPr>
          <w:sz w:val="20"/>
        </w:rPr>
        <w:t xml:space="preserve">О МЕТОДИЧЕСКИХ РЕКОМЕНДАЦИЯХ</w:t>
      </w:r>
    </w:p>
    <w:p>
      <w:pPr>
        <w:pStyle w:val="2"/>
        <w:jc w:val="center"/>
      </w:pPr>
      <w:r>
        <w:rPr>
          <w:sz w:val="20"/>
        </w:rPr>
        <w:t xml:space="preserve">ПО УСТАНОВЛЕНИЮ СВЕДЕНИЙ О БЕНЕФИЦИАРНЫХ</w:t>
      </w:r>
    </w:p>
    <w:p>
      <w:pPr>
        <w:pStyle w:val="2"/>
        <w:jc w:val="center"/>
      </w:pPr>
      <w:r>
        <w:rPr>
          <w:sz w:val="20"/>
        </w:rPr>
        <w:t xml:space="preserve">ВЛАДЕЛЬЦАХ КЛИЕНТОВ</w:t>
      </w:r>
    </w:p>
    <w:p>
      <w:pPr>
        <w:pStyle w:val="0"/>
        <w:jc w:val="both"/>
      </w:pPr>
      <w:r>
        <w:rPr>
          <w:sz w:val="20"/>
        </w:rPr>
      </w:r>
    </w:p>
    <w:p>
      <w:pPr>
        <w:pStyle w:val="0"/>
        <w:ind w:firstLine="540"/>
        <w:jc w:val="both"/>
      </w:pPr>
      <w:hyperlink w:history="0" w:anchor="P22" w:tooltip="МЕТОДИЧЕСКИЕ РЕКОМЕНДАЦИИ">
        <w:r>
          <w:rPr>
            <w:sz w:val="20"/>
            <w:color w:val="0000ff"/>
          </w:rPr>
          <w:t xml:space="preserve">Методические рекомендации</w:t>
        </w:r>
      </w:hyperlink>
      <w:r>
        <w:rPr>
          <w:sz w:val="20"/>
        </w:rPr>
        <w:t xml:space="preserve"> по установлению сведений о бенефициарных владельцах (далее - Методические рекомендации) подготовлены Росфинмониторингом в целях оказания методической помощи субъектам первичного финансового мониторинга &lt;1&gt; по организации и осуществлению ими внутреннего контроля.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Организации, осуществляющие операции с денежными средствами или иным имуществом, и индивидуальные предприниматели, перечисленные в </w:t>
      </w:r>
      <w:hyperlink w:history="0" r:id="rId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статье 5</w:t>
        </w:r>
      </w:hyperlink>
      <w:r>
        <w:rPr>
          <w:sz w:val="20"/>
        </w:rP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 (за исключением организаций и индивидуальных предпринимателей, надзор за которыми в сфере противодействия легализации (отмыванию) доходов, полученных преступным путем, и финансированию терроризма, осуществляет Банк России). Данные </w:t>
      </w:r>
      <w:hyperlink w:history="0" w:anchor="P22" w:tooltip="МЕТОДИЧЕСКИЕ РЕКОМЕНДАЦИИ">
        <w:r>
          <w:rPr>
            <w:sz w:val="20"/>
            <w:color w:val="0000ff"/>
          </w:rPr>
          <w:t xml:space="preserve">Методические рекомендации</w:t>
        </w:r>
      </w:hyperlink>
      <w:r>
        <w:rPr>
          <w:sz w:val="20"/>
        </w:rPr>
        <w:t xml:space="preserve"> также могут использоваться адвокатами, нотариусами и лицами, осуществляющими предпринимательскую деятельность в сфере оказания юридических или бухгалтерских услуг, перечисленными в </w:t>
      </w:r>
      <w:hyperlink w:history="0" r:id="rId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статье 7.1</w:t>
        </w:r>
      </w:hyperlink>
      <w:r>
        <w:rPr>
          <w:sz w:val="20"/>
        </w:rPr>
        <w:t xml:space="preserve"> Федерального закона N 115-ФЗ.</w:t>
      </w:r>
    </w:p>
    <w:p>
      <w:pPr>
        <w:pStyle w:val="0"/>
        <w:jc w:val="both"/>
      </w:pPr>
      <w:r>
        <w:rPr>
          <w:sz w:val="20"/>
        </w:rPr>
      </w:r>
    </w:p>
    <w:p>
      <w:pPr>
        <w:pStyle w:val="0"/>
        <w:ind w:firstLine="540"/>
        <w:jc w:val="both"/>
      </w:pPr>
      <w:r>
        <w:rPr>
          <w:sz w:val="20"/>
        </w:rPr>
        <w:t xml:space="preserve">Задача </w:t>
      </w:r>
      <w:hyperlink w:history="0" w:anchor="P22" w:tooltip="МЕТОДИЧЕСКИЕ РЕКОМЕНДАЦИИ">
        <w:r>
          <w:rPr>
            <w:sz w:val="20"/>
            <w:color w:val="0000ff"/>
          </w:rPr>
          <w:t xml:space="preserve">Методических рекомендаций</w:t>
        </w:r>
      </w:hyperlink>
      <w:r>
        <w:rPr>
          <w:sz w:val="20"/>
        </w:rPr>
        <w:t xml:space="preserve"> - повышение эффективности процедур идентификации клиентов (представителей клиентов, выгодоприобретателей, бенефициарных владельцев), а также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w:t>
      </w:r>
    </w:p>
    <w:p>
      <w:pPr>
        <w:pStyle w:val="0"/>
        <w:spacing w:before="200" w:lineRule="auto"/>
        <w:ind w:firstLine="540"/>
        <w:jc w:val="both"/>
      </w:pPr>
      <w:hyperlink w:history="0" w:anchor="P22" w:tooltip="МЕТОДИЧЕСКИЕ РЕКОМЕНДАЦИИ">
        <w:r>
          <w:rPr>
            <w:sz w:val="20"/>
            <w:color w:val="0000ff"/>
          </w:rPr>
          <w:t xml:space="preserve">Методические рекомендации</w:t>
        </w:r>
      </w:hyperlink>
      <w:r>
        <w:rPr>
          <w:sz w:val="20"/>
        </w:rPr>
        <w:t xml:space="preserve"> основаны на законодательстве в сфере противодействия отмыванию доходов, полученных преступным путем, и финансированию терроризма, действующем на момент их опубликования.</w:t>
      </w:r>
    </w:p>
    <w:p>
      <w:pPr>
        <w:pStyle w:val="0"/>
        <w:spacing w:before="200" w:lineRule="auto"/>
        <w:ind w:firstLine="540"/>
        <w:jc w:val="both"/>
      </w:pPr>
      <w:r>
        <w:rPr>
          <w:sz w:val="20"/>
        </w:rPr>
        <w:t xml:space="preserve">В случае изменения требований законодательства </w:t>
      </w:r>
      <w:hyperlink w:history="0" w:anchor="P22" w:tooltip="МЕТОДИЧЕСКИЕ РЕКОМЕНДАЦИИ">
        <w:r>
          <w:rPr>
            <w:sz w:val="20"/>
            <w:color w:val="0000ff"/>
          </w:rPr>
          <w:t xml:space="preserve">Методические рекомендации</w:t>
        </w:r>
      </w:hyperlink>
      <w:r>
        <w:rPr>
          <w:sz w:val="20"/>
        </w:rPr>
        <w:t xml:space="preserve"> применяются в части, не противоречащей вновь принятым нормативным правовым актам.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2" w:name="P22"/>
    <w:bookmarkEnd w:id="22"/>
    <w:p>
      <w:pPr>
        <w:pStyle w:val="2"/>
        <w:outlineLvl w:val="0"/>
        <w:jc w:val="center"/>
      </w:pPr>
      <w:r>
        <w:rPr>
          <w:sz w:val="20"/>
        </w:rPr>
        <w:t xml:space="preserve">МЕТОДИЧЕСКИЕ РЕКОМЕНДАЦИИ</w:t>
      </w:r>
    </w:p>
    <w:p>
      <w:pPr>
        <w:pStyle w:val="2"/>
        <w:jc w:val="center"/>
      </w:pPr>
      <w:r>
        <w:rPr>
          <w:sz w:val="20"/>
        </w:rPr>
        <w:t xml:space="preserve">ПО УСТАНОВЛЕНИЮ СВЕДЕНИЙ О БЕНЕФИЦИАРНЫХ</w:t>
      </w:r>
    </w:p>
    <w:p>
      <w:pPr>
        <w:pStyle w:val="2"/>
        <w:jc w:val="center"/>
      </w:pPr>
      <w:r>
        <w:rPr>
          <w:sz w:val="20"/>
        </w:rPr>
        <w:t xml:space="preserve">ВЛАДЕЛЬЦАХ КЛИЕНТОВ</w:t>
      </w:r>
    </w:p>
    <w:p>
      <w:pPr>
        <w:pStyle w:val="0"/>
        <w:jc w:val="both"/>
      </w:pPr>
      <w:r>
        <w:rPr>
          <w:sz w:val="20"/>
        </w:rPr>
      </w:r>
    </w:p>
    <w:p>
      <w:pPr>
        <w:pStyle w:val="0"/>
        <w:ind w:firstLine="540"/>
        <w:jc w:val="both"/>
      </w:pPr>
      <w:r>
        <w:rPr>
          <w:sz w:val="20"/>
        </w:rPr>
        <w:t xml:space="preserve">Настоящие Методические рекомендации предназначены для применения организациями, осуществляющими операции с денежными средствами или иным имуществом, и индивидуальными предпринимателями &lt;1&gt;, перечисленными в </w:t>
      </w:r>
      <w:hyperlink w:history="0" r:id="rId1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статье 5</w:t>
        </w:r>
      </w:hyperlink>
      <w:r>
        <w:rPr>
          <w:sz w:val="20"/>
        </w:rPr>
        <w:t xml:space="preserve"> Федерального закона N 115-ФЗ &lt;2&gt; (за исключением организаций и индивидуальных предпринимателей, надзор за которыми в сфере противодействия легализации (отмыванию) доходов, полученных преступным путем, и финансированию терроризма, осуществляет Банк России) в целях эффективного выявления бенефициарных владельцев своих клиентов.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Лизинговые компании; организации федеральной почтовой связи; 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играх, в том числе в электронной форме; организации, оказывающие посреднические услуги при осуществлении сделок купли-продажи недвижимого имущества; операторы по приему платежей; коммерческие организации, заключающие договоры финансирования под уступку денежного требования в качестве финансовых агентов; операторы связи, имеющих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 индивидуальные предприниматели, оказывающие посреднические услуги при осуществлении сделок купли-продажи недвижимого имущества (далее - субъекты, субъекты первичного финансового мониторинга).</w:t>
      </w:r>
    </w:p>
    <w:p>
      <w:pPr>
        <w:pStyle w:val="0"/>
        <w:spacing w:before="200" w:lineRule="auto"/>
        <w:ind w:firstLine="540"/>
        <w:jc w:val="both"/>
      </w:pPr>
      <w:r>
        <w:rPr>
          <w:sz w:val="20"/>
        </w:rPr>
        <w:t xml:space="preserve">&lt;2&gt; Федеральный </w:t>
      </w:r>
      <w:hyperlink w:history="0" r:id="rId1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закон</w:t>
        </w:r>
      </w:hyperlink>
      <w:r>
        <w:rPr>
          <w:sz w:val="20"/>
        </w:rPr>
        <w:t xml:space="preserve"> от 07.08.2001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r>
    </w:p>
    <w:p>
      <w:pPr>
        <w:pStyle w:val="0"/>
        <w:ind w:firstLine="540"/>
        <w:jc w:val="both"/>
      </w:pPr>
      <w:r>
        <w:rPr>
          <w:sz w:val="20"/>
        </w:rPr>
        <w:t xml:space="preserve">Данные Методические рекомендации также могут использоваться адвокатами, нотариусами и лицами, осуществляющими предпринимательскую деятельность в сфере оказания юридических или бухгалтерских услуг, аудиторами при работе с клиентами, когда они готовят или осуществляют от имени или по поручению своего клиента операции, указанные в </w:t>
      </w:r>
      <w:hyperlink w:history="0" r:id="rId1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пункте 1 статьи 7.1</w:t>
        </w:r>
      </w:hyperlink>
      <w:r>
        <w:rPr>
          <w:sz w:val="20"/>
        </w:rPr>
        <w:t xml:space="preserve"> Федерального закона N 115-ФЗ, а также при выявлении операций, в отношении которых имеются основания полагать, что сделки или финансовые операции осуществляются или могут быть осуществлены в целях легализации (отмывания) доходов, полученных преступным путем, или финансирования терроризма.</w:t>
      </w:r>
    </w:p>
    <w:p>
      <w:pPr>
        <w:pStyle w:val="0"/>
        <w:jc w:val="both"/>
      </w:pPr>
      <w:r>
        <w:rPr>
          <w:sz w:val="20"/>
        </w:rPr>
      </w:r>
    </w:p>
    <w:p>
      <w:pPr>
        <w:pStyle w:val="2"/>
        <w:outlineLvl w:val="1"/>
        <w:jc w:val="center"/>
      </w:pPr>
      <w:r>
        <w:rPr>
          <w:sz w:val="20"/>
        </w:rPr>
        <w:t xml:space="preserve">I. Международно-правовые основы</w:t>
      </w:r>
    </w:p>
    <w:p>
      <w:pPr>
        <w:pStyle w:val="0"/>
        <w:jc w:val="both"/>
      </w:pPr>
      <w:r>
        <w:rPr>
          <w:sz w:val="20"/>
        </w:rPr>
      </w:r>
    </w:p>
    <w:p>
      <w:pPr>
        <w:pStyle w:val="2"/>
        <w:outlineLvl w:val="2"/>
        <w:jc w:val="center"/>
      </w:pPr>
      <w:r>
        <w:rPr>
          <w:sz w:val="20"/>
        </w:rPr>
        <w:t xml:space="preserve">Рекомендации ФАТФ</w:t>
      </w:r>
    </w:p>
    <w:p>
      <w:pPr>
        <w:pStyle w:val="0"/>
        <w:jc w:val="both"/>
      </w:pPr>
      <w:r>
        <w:rPr>
          <w:sz w:val="20"/>
        </w:rPr>
      </w:r>
    </w:p>
    <w:p>
      <w:pPr>
        <w:pStyle w:val="0"/>
        <w:ind w:firstLine="540"/>
        <w:jc w:val="both"/>
      </w:pPr>
      <w:r>
        <w:rPr>
          <w:sz w:val="20"/>
        </w:rPr>
        <w:t xml:space="preserve">В соответствии с Рекомендацией ФАТФ &lt;3&gt; 10 "Надлежащая проверка клиента", Рекомендацией ФАТФ 22 "УНФПП &lt;4&gt; - надлежащая проверка клиента", Рекомендацией ФАТФ 23 "УНФПП - иные меры" финансовые учреждения и УНФПП обязаны устанавливать бенефициарного владельца и принимать такие разумные меры по проверке личности бенефициарного владельца, которые позволят финансовому учреждению считать, что ему известно, кто является бенефициарным владельцем. Для юридических лиц и образований это должно включать в себя получение информации финансовыми учреждениями о структуре управления и собственности клиента. При этом проверка личности бенефициарного владельца должна проводиться до или в ходе установления деловых отношений или совершения операций (сделок) с разовыми клиентами.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Группа разработки финансовых мер борьбы с отмыванием денег (ФАТФ).</w:t>
      </w:r>
    </w:p>
    <w:p>
      <w:pPr>
        <w:pStyle w:val="0"/>
        <w:spacing w:before="200" w:lineRule="auto"/>
        <w:ind w:firstLine="540"/>
        <w:jc w:val="both"/>
      </w:pPr>
      <w:r>
        <w:rPr>
          <w:sz w:val="20"/>
        </w:rPr>
        <w:t xml:space="preserve">&lt;4&gt; Установленные нефинансовые предприятия и профессии.</w:t>
      </w:r>
    </w:p>
    <w:p>
      <w:pPr>
        <w:pStyle w:val="0"/>
        <w:jc w:val="both"/>
      </w:pPr>
      <w:r>
        <w:rPr>
          <w:sz w:val="20"/>
        </w:rPr>
      </w:r>
    </w:p>
    <w:p>
      <w:pPr>
        <w:pStyle w:val="0"/>
        <w:ind w:firstLine="540"/>
        <w:jc w:val="both"/>
      </w:pPr>
      <w:r>
        <w:rPr>
          <w:sz w:val="20"/>
        </w:rPr>
        <w:t xml:space="preserve">Термин бенефициарный владелец &lt;5&gt;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напрямую.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Глоссарий Рекомендаций ФАТФ.</w:t>
      </w:r>
    </w:p>
    <w:p>
      <w:pPr>
        <w:pStyle w:val="0"/>
        <w:jc w:val="both"/>
      </w:pPr>
      <w:r>
        <w:rPr>
          <w:sz w:val="20"/>
        </w:rPr>
      </w:r>
    </w:p>
    <w:p>
      <w:pPr>
        <w:pStyle w:val="2"/>
        <w:outlineLvl w:val="2"/>
        <w:jc w:val="center"/>
      </w:pPr>
      <w:r>
        <w:rPr>
          <w:sz w:val="20"/>
        </w:rPr>
        <w:t xml:space="preserve">Требования законодательства Российской Федерации</w:t>
      </w:r>
    </w:p>
    <w:p>
      <w:pPr>
        <w:pStyle w:val="0"/>
        <w:jc w:val="both"/>
      </w:pPr>
      <w:r>
        <w:rPr>
          <w:sz w:val="20"/>
        </w:rPr>
      </w:r>
    </w:p>
    <w:p>
      <w:pPr>
        <w:pStyle w:val="0"/>
        <w:ind w:firstLine="540"/>
        <w:jc w:val="both"/>
      </w:pPr>
      <w:r>
        <w:rPr>
          <w:sz w:val="20"/>
        </w:rPr>
        <w:t xml:space="preserve">В соответствии с положениями </w:t>
      </w:r>
      <w:hyperlink w:history="0" r:id="rId1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подпункта 2 пункта 1 статьи 7</w:t>
        </w:r>
      </w:hyperlink>
      <w:r>
        <w:rPr>
          <w:sz w:val="20"/>
        </w:rPr>
        <w:t xml:space="preserve"> Федерального закона N 115-ФЗ субъекты первичного финансового мониторинга обязаны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них сведений, в объеме как в отношении клиента - физического лица.</w:t>
      </w:r>
    </w:p>
    <w:p>
      <w:pPr>
        <w:pStyle w:val="0"/>
        <w:spacing w:before="200" w:lineRule="auto"/>
        <w:ind w:firstLine="540"/>
        <w:jc w:val="both"/>
      </w:pPr>
      <w:r>
        <w:rPr>
          <w:sz w:val="20"/>
        </w:rPr>
        <w:t xml:space="preserve">Согласно </w:t>
      </w:r>
      <w:hyperlink w:history="0" r:id="rId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абзацу 13 статьи 3</w:t>
        </w:r>
      </w:hyperlink>
      <w:r>
        <w:rPr>
          <w:sz w:val="20"/>
        </w:rPr>
        <w:t xml:space="preserve"> Федерального закона N 115-ФЗ бенефициарный владелец - в целях указанного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pPr>
        <w:pStyle w:val="0"/>
        <w:spacing w:before="200" w:lineRule="auto"/>
        <w:ind w:firstLine="540"/>
        <w:jc w:val="both"/>
      </w:pPr>
      <w:r>
        <w:rPr>
          <w:sz w:val="20"/>
        </w:rPr>
        <w:t xml:space="preserve">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Например, учитывая положения </w:t>
      </w:r>
      <w:hyperlink w:history="0" r:id="rId1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Главы 3</w:t>
        </w:r>
      </w:hyperlink>
      <w:r>
        <w:rPr>
          <w:sz w:val="20"/>
        </w:rPr>
        <w:t xml:space="preserve"> Гражданского кодекса Российской Федерации,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p>
      <w:pPr>
        <w:pStyle w:val="0"/>
        <w:jc w:val="both"/>
      </w:pPr>
      <w:r>
        <w:rPr>
          <w:sz w:val="20"/>
        </w:rPr>
      </w:r>
    </w:p>
    <w:p>
      <w:pPr>
        <w:pStyle w:val="0"/>
        <w:ind w:firstLine="540"/>
        <w:jc w:val="both"/>
      </w:pPr>
      <w:r>
        <w:rPr>
          <w:sz w:val="20"/>
        </w:rPr>
        <w:t xml:space="preserve">Согласно </w:t>
      </w:r>
      <w:hyperlink w:history="0" r:id="rId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пункту 14 статьи 7</w:t>
        </w:r>
      </w:hyperlink>
      <w:r>
        <w:rPr>
          <w:sz w:val="20"/>
        </w:rPr>
        <w:t xml:space="preserve"> Федерального закона N 115-ФЗ клиент обязан предоставлять субъекту первичного финансового мониторинга информацию, необходимую для исполнения требований Федерального </w:t>
      </w:r>
      <w:hyperlink w:history="0" r:id="rId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закона</w:t>
        </w:r>
      </w:hyperlink>
      <w:r>
        <w:rPr>
          <w:sz w:val="20"/>
        </w:rPr>
        <w:t xml:space="preserve"> N 115-ФЗ, в том числе информацию о своих бенефициарных владельцах.</w:t>
      </w:r>
    </w:p>
    <w:p>
      <w:pPr>
        <w:pStyle w:val="0"/>
        <w:spacing w:before="200" w:lineRule="auto"/>
        <w:ind w:firstLine="540"/>
        <w:jc w:val="both"/>
      </w:pPr>
      <w:r>
        <w:rPr>
          <w:sz w:val="20"/>
        </w:rPr>
        <w:t xml:space="preserve">В случае, если по результатам реализации мер по выявлению бенефициарного владельца клиента у субъекта первичного финансового мониторинга имеются основания полагать, что бенефициарным владельцем клиента, в том числе физического лица, является иное лицо, а также в случае, когда клиентом не представлена информация о его бенефициаре, субъекту первичного финансового мониторинга, руководствуясь положениями </w:t>
      </w:r>
      <w:hyperlink w:history="0" r:id="rId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подпункта 2 пункта 1 статьи 7</w:t>
        </w:r>
      </w:hyperlink>
      <w:r>
        <w:rPr>
          <w:sz w:val="20"/>
        </w:rPr>
        <w:t xml:space="preserve"> Федерального закона N 115-ФЗ, следует реализовать комплекс мер, предусмотренный правилами внутреннего контроля для самостоятельного выявления и идентификации бенефициарного владельца клиента.</w:t>
      </w:r>
    </w:p>
    <w:p>
      <w:pPr>
        <w:pStyle w:val="0"/>
        <w:spacing w:before="200" w:lineRule="auto"/>
        <w:ind w:firstLine="540"/>
        <w:jc w:val="both"/>
      </w:pPr>
      <w:r>
        <w:rPr>
          <w:sz w:val="20"/>
        </w:rPr>
        <w:t xml:space="preserve">Примеры физических лиц, которые могли бы рассматриваться как бенефициарные владельцы: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Руководство ФАТФ - Прозрачность и бенефициарная собственность (Рекомендации 24 и 25), 2014//www.fatf-gafi.org/publications/fatfrecommendations/documents/transparency-and-beneficial-ownership.html.</w:t>
      </w:r>
    </w:p>
    <w:p>
      <w:pPr>
        <w:pStyle w:val="0"/>
        <w:jc w:val="both"/>
      </w:pPr>
      <w:r>
        <w:rPr>
          <w:sz w:val="20"/>
        </w:rPr>
      </w:r>
    </w:p>
    <w:p>
      <w:pPr>
        <w:pStyle w:val="0"/>
        <w:ind w:firstLine="540"/>
        <w:jc w:val="both"/>
      </w:pPr>
      <w:r>
        <w:rPr>
          <w:sz w:val="20"/>
        </w:rPr>
        <w:t xml:space="preserve">а) физическое лицо (лица), которое прямо или косвенно владеет минимальным процентом доли в собственности юридического лица (пороговый подход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Участие в капитале более 25 процентов.</w:t>
      </w:r>
    </w:p>
    <w:p>
      <w:pPr>
        <w:pStyle w:val="0"/>
        <w:jc w:val="both"/>
      </w:pPr>
      <w:r>
        <w:rPr>
          <w:sz w:val="20"/>
        </w:rPr>
      </w:r>
    </w:p>
    <w:p>
      <w:pPr>
        <w:pStyle w:val="0"/>
        <w:ind w:firstLine="540"/>
        <w:jc w:val="both"/>
      </w:pPr>
      <w:r>
        <w:rPr>
          <w:sz w:val="20"/>
        </w:rPr>
        <w:t xml:space="preserve">б) акционеры, осуществляющие управление единолично или совместно с другими акционерами на основании имеющихся у них гражданско-правовых отношений.</w:t>
      </w:r>
    </w:p>
    <w:p>
      <w:pPr>
        <w:pStyle w:val="0"/>
        <w:spacing w:before="200" w:lineRule="auto"/>
        <w:ind w:firstLine="540"/>
        <w:jc w:val="both"/>
      </w:pPr>
      <w:r>
        <w:rPr>
          <w:sz w:val="20"/>
        </w:rPr>
        <w:t xml:space="preserve">в) физическое лицо (лица), осуществляющее управление юридическим лицом иными способами, например, такими как личные контакты с ответственными людьми либо с обладающими правом собственности.</w:t>
      </w:r>
    </w:p>
    <w:p>
      <w:pPr>
        <w:pStyle w:val="0"/>
        <w:spacing w:before="200" w:lineRule="auto"/>
        <w:ind w:firstLine="540"/>
        <w:jc w:val="both"/>
      </w:pPr>
      <w:r>
        <w:rPr>
          <w:sz w:val="20"/>
        </w:rPr>
        <w:t xml:space="preserve">г) физическое лицо (лица), осуществляющее управление без права собственности за счет участия в финансировании предприятия; либо по причине наличия тесных семейных отношений; исторически сложившихся или сформировавшихся в результате сотрудничества связей; либо в случае, если компания объявила дефолт по определенным долгам.</w:t>
      </w:r>
    </w:p>
    <w:p>
      <w:pPr>
        <w:pStyle w:val="0"/>
        <w:spacing w:before="200" w:lineRule="auto"/>
        <w:ind w:firstLine="540"/>
        <w:jc w:val="both"/>
      </w:pPr>
      <w:r>
        <w:rPr>
          <w:sz w:val="20"/>
        </w:rPr>
        <w:t xml:space="preserve">д) физическое лицо (лица), ответственное за принятие стратегических решений, которые оказывают решающее влияние на развитие бизнеса или на общее направление развития предприятия.</w:t>
      </w:r>
    </w:p>
    <w:p>
      <w:pPr>
        <w:pStyle w:val="0"/>
        <w:spacing w:before="200" w:lineRule="auto"/>
        <w:ind w:firstLine="540"/>
        <w:jc w:val="both"/>
      </w:pPr>
      <w:r>
        <w:rPr>
          <w:sz w:val="20"/>
        </w:rPr>
        <w:t xml:space="preserve">е) физическое лицо (лица), осуществляющее исполнительный контроль за ежедневной или регулярной деятельностью юридического лица с использованием позиции руководства высшего звена.</w:t>
      </w:r>
    </w:p>
    <w:p>
      <w:pPr>
        <w:pStyle w:val="0"/>
        <w:spacing w:before="200" w:lineRule="auto"/>
        <w:ind w:firstLine="540"/>
        <w:jc w:val="both"/>
      </w:pPr>
      <w:r>
        <w:rPr>
          <w:sz w:val="20"/>
        </w:rPr>
        <w:t xml:space="preserve">ж) физическое лицо, которое на основании договорных отношений имеет возможность оказывать существенное влияние на характер деятельности организации.</w:t>
      </w:r>
    </w:p>
    <w:p>
      <w:pPr>
        <w:pStyle w:val="0"/>
        <w:spacing w:before="200" w:lineRule="auto"/>
        <w:ind w:firstLine="540"/>
        <w:jc w:val="both"/>
      </w:pPr>
      <w:r>
        <w:rPr>
          <w:sz w:val="20"/>
        </w:rPr>
        <w:t xml:space="preserve">В целях установления бенефициарного владельца траста или иного юридического образования либо выявления указанных лиц в цепочке владения, используется, в том числе, информация об учредителях, доверительных собственниках, выгодоприобретателях или классах выгодоприобретателей и любых других физических лиц, имеющих действительный контроль над трастом или иным юридическим образованием.</w:t>
      </w:r>
    </w:p>
    <w:p>
      <w:pPr>
        <w:pStyle w:val="0"/>
        <w:jc w:val="both"/>
      </w:pPr>
      <w:r>
        <w:rPr>
          <w:sz w:val="20"/>
        </w:rPr>
      </w:r>
    </w:p>
    <w:p>
      <w:pPr>
        <w:pStyle w:val="2"/>
        <w:outlineLvl w:val="1"/>
        <w:jc w:val="center"/>
      </w:pPr>
      <w:r>
        <w:rPr>
          <w:sz w:val="20"/>
        </w:rPr>
        <w:t xml:space="preserve">II. Порядок установления бенефициарного владельца клиента</w:t>
      </w:r>
    </w:p>
    <w:p>
      <w:pPr>
        <w:pStyle w:val="0"/>
        <w:jc w:val="both"/>
      </w:pPr>
      <w:r>
        <w:rPr>
          <w:sz w:val="20"/>
        </w:rPr>
      </w:r>
    </w:p>
    <w:p>
      <w:pPr>
        <w:pStyle w:val="0"/>
        <w:ind w:firstLine="540"/>
        <w:jc w:val="both"/>
      </w:pPr>
      <w:r>
        <w:rPr>
          <w:sz w:val="20"/>
        </w:rPr>
        <w:t xml:space="preserve">Мероприятия по установлению бенефициарного владельца клиента включают:</w:t>
      </w:r>
    </w:p>
    <w:p>
      <w:pPr>
        <w:pStyle w:val="0"/>
        <w:jc w:val="both"/>
      </w:pPr>
      <w:r>
        <w:rPr>
          <w:sz w:val="20"/>
        </w:rPr>
      </w:r>
    </w:p>
    <w:p>
      <w:pPr>
        <w:pStyle w:val="2"/>
        <w:outlineLvl w:val="2"/>
        <w:ind w:firstLine="540"/>
        <w:jc w:val="both"/>
      </w:pPr>
      <w:r>
        <w:rPr>
          <w:sz w:val="20"/>
        </w:rPr>
        <w:t xml:space="preserve">1. Выявление бенефициарных владельцев</w:t>
      </w:r>
    </w:p>
    <w:p>
      <w:pPr>
        <w:pStyle w:val="0"/>
        <w:spacing w:before="200" w:lineRule="auto"/>
        <w:ind w:firstLine="540"/>
        <w:jc w:val="both"/>
      </w:pPr>
      <w:r>
        <w:rPr>
          <w:sz w:val="20"/>
        </w:rPr>
        <w:t xml:space="preserve">Выявление может проводиться следующими способами:</w:t>
      </w:r>
    </w:p>
    <w:p>
      <w:pPr>
        <w:pStyle w:val="0"/>
        <w:spacing w:before="200" w:lineRule="auto"/>
        <w:ind w:firstLine="540"/>
        <w:jc w:val="both"/>
      </w:pPr>
      <w:r>
        <w:rPr>
          <w:sz w:val="20"/>
        </w:rPr>
        <w:t xml:space="preserve">а) включение в договор с клиентом (публичную оферту для клиентов) обязанности последнего представлять сведения о своих бенефициарных владельцах,</w:t>
      </w:r>
    </w:p>
    <w:p>
      <w:pPr>
        <w:pStyle w:val="0"/>
        <w:spacing w:before="200" w:lineRule="auto"/>
        <w:ind w:firstLine="540"/>
        <w:jc w:val="both"/>
      </w:pPr>
      <w:r>
        <w:rPr>
          <w:sz w:val="20"/>
        </w:rPr>
        <w:t xml:space="preserve">б) анкетирование клиента (направление клиенту запроса, составленного самостоятельно с учетом перечня сведений, необходимых для идентификации бенефициарного владельца, установленных соответствующими нормативными правовыми актами),</w:t>
      </w:r>
    </w:p>
    <w:p>
      <w:pPr>
        <w:pStyle w:val="0"/>
        <w:spacing w:before="200" w:lineRule="auto"/>
        <w:ind w:firstLine="540"/>
        <w:jc w:val="both"/>
      </w:pPr>
      <w:r>
        <w:rPr>
          <w:sz w:val="20"/>
        </w:rPr>
        <w:t xml:space="preserve">в) изучение учредительных документов клиентов - юридических лиц, устный опрос клиента с фиксированием сведений в анкете бенефициарного владельца клиента,</w:t>
      </w:r>
    </w:p>
    <w:p>
      <w:pPr>
        <w:pStyle w:val="0"/>
        <w:spacing w:before="200" w:lineRule="auto"/>
        <w:ind w:firstLine="540"/>
        <w:jc w:val="both"/>
      </w:pPr>
      <w:r>
        <w:rPr>
          <w:sz w:val="20"/>
        </w:rPr>
        <w:t xml:space="preserve">г) использование внешних доступных субъекту первичного финансового мониторинга на законных основаниях источников информации (например, общедоступные средства массовой информации, Интернет, коммерческие базы данных (СПАРК, X-Compliance, Коммерсант-Картотека и пр.).</w:t>
      </w:r>
    </w:p>
    <w:p>
      <w:pPr>
        <w:pStyle w:val="0"/>
        <w:spacing w:before="200" w:lineRule="auto"/>
        <w:ind w:firstLine="540"/>
        <w:jc w:val="both"/>
      </w:pPr>
      <w:r>
        <w:rPr>
          <w:sz w:val="20"/>
        </w:rPr>
        <w:t xml:space="preserve">Признание физического лица бенефициарным владельцем клиента должно являться результатом анализа совокупности имеющихся у субъекта документов и (или) информации о клиенте и о таком физическом лице, как непосредственно представленных клиентом, так и полученными субъектом самостоятельно.</w:t>
      </w:r>
    </w:p>
    <w:p>
      <w:pPr>
        <w:pStyle w:val="0"/>
        <w:spacing w:before="200" w:lineRule="auto"/>
        <w:ind w:firstLine="540"/>
        <w:jc w:val="both"/>
      </w:pPr>
      <w:r>
        <w:rPr>
          <w:sz w:val="20"/>
        </w:rPr>
        <w:t xml:space="preserve">В случае, если в результате принятия предусмотренных Федеральным </w:t>
      </w:r>
      <w:hyperlink w:history="0" r:id="rId1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законом</w:t>
        </w:r>
      </w:hyperlink>
      <w:r>
        <w:rPr>
          <w:sz w:val="20"/>
        </w:rPr>
        <w:t xml:space="preserve"> N 115-ФЗ мер бенефициарный владелец клиента - юридического лица не выявлен, бенефициарным владельцем может быть признан единоличный исполнительный орган клиента - юридического лица.</w:t>
      </w:r>
    </w:p>
    <w:p>
      <w:pPr>
        <w:pStyle w:val="0"/>
        <w:spacing w:before="200" w:lineRule="auto"/>
        <w:ind w:firstLine="540"/>
        <w:jc w:val="both"/>
      </w:pPr>
      <w:r>
        <w:rPr>
          <w:sz w:val="20"/>
        </w:rPr>
        <w:t xml:space="preserve">Необходимо учитывать, что непредставление клиентом сведений о бенефициарном владельце либо преднамеренное предоставление неполных сведений, предусмотренных </w:t>
      </w:r>
      <w:hyperlink w:history="0" r:id="rId2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подпунктом 1 пункта 1 статьи 7</w:t>
        </w:r>
      </w:hyperlink>
      <w:r>
        <w:rPr>
          <w:sz w:val="20"/>
        </w:rPr>
        <w:t xml:space="preserve"> Федерального закона N 115-ФЗ, не может являться безусловным основанием для признания единоличного исполнительного органа клиента в качестве бенефициарного владельца, без проведения соответствующих мероприятий и анализа полученных от клиента документов и сведений.</w:t>
      </w:r>
    </w:p>
    <w:p>
      <w:pPr>
        <w:pStyle w:val="0"/>
        <w:spacing w:before="200" w:lineRule="auto"/>
        <w:ind w:firstLine="540"/>
        <w:jc w:val="both"/>
      </w:pPr>
      <w:r>
        <w:rPr>
          <w:sz w:val="20"/>
        </w:rPr>
        <w:t xml:space="preserve">В такой ситуации субъект должен рассмотреть в соответствии с </w:t>
      </w:r>
      <w:hyperlink w:history="0" r:id="rId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пунктом 11 статьи 7</w:t>
        </w:r>
      </w:hyperlink>
      <w:r>
        <w:rPr>
          <w:sz w:val="20"/>
        </w:rPr>
        <w:t xml:space="preserve"> Федерального закона N 115-ФЗ вопрос об отказе в выполнении распоряжения клиента о совершении операции с последующим информированием Росфинмониторинга о факте отказа клиенту по основанию непредставления сведений, необходимых для документального фиксирования информации в соответствии с положениями Федерального </w:t>
      </w:r>
      <w:hyperlink w:history="0" r:id="rId2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закона</w:t>
        </w:r>
      </w:hyperlink>
      <w:r>
        <w:rPr>
          <w:sz w:val="20"/>
        </w:rPr>
        <w:t xml:space="preserve"> N 115-ФЗ.</w:t>
      </w:r>
    </w:p>
    <w:p>
      <w:pPr>
        <w:pStyle w:val="0"/>
        <w:spacing w:before="200" w:lineRule="auto"/>
        <w:ind w:firstLine="540"/>
        <w:jc w:val="both"/>
      </w:pPr>
      <w:r>
        <w:rPr>
          <w:sz w:val="20"/>
        </w:rPr>
        <w:t xml:space="preserve">Одновременно обращаем внимание, что субъект обязан хранить информацию и документы, подтверждающие принятие мер по установлению сведений о бенефициарном владельце (запросы клиенту и ответы на них), в том числе, в случае признания бенефициаром единоличного исполнительного органа клиента в течение 5 лет с момента прекращения отношений с клиентом.</w:t>
      </w:r>
    </w:p>
    <w:p>
      <w:pPr>
        <w:pStyle w:val="0"/>
        <w:jc w:val="both"/>
      </w:pPr>
      <w:r>
        <w:rPr>
          <w:sz w:val="20"/>
        </w:rPr>
      </w:r>
    </w:p>
    <w:p>
      <w:pPr>
        <w:pStyle w:val="2"/>
        <w:outlineLvl w:val="2"/>
        <w:ind w:firstLine="540"/>
        <w:jc w:val="both"/>
      </w:pPr>
      <w:r>
        <w:rPr>
          <w:sz w:val="20"/>
        </w:rPr>
        <w:t xml:space="preserve">2. Идентификация бенефициарных владельцев</w:t>
      </w:r>
    </w:p>
    <w:p>
      <w:pPr>
        <w:pStyle w:val="0"/>
        <w:spacing w:before="200" w:lineRule="auto"/>
        <w:ind w:firstLine="540"/>
        <w:jc w:val="both"/>
      </w:pPr>
      <w:r>
        <w:rPr>
          <w:sz w:val="20"/>
        </w:rPr>
        <w:t xml:space="preserve">В рамках идентификации бенефициарного владельца субъект первичного финансового мониторинга обязан принимать обоснованные и доступные в сложившихся обстоятельствах меры по установлению следующих сведений:</w:t>
      </w:r>
    </w:p>
    <w:p>
      <w:pPr>
        <w:pStyle w:val="0"/>
        <w:spacing w:before="200" w:lineRule="auto"/>
        <w:ind w:firstLine="540"/>
        <w:jc w:val="both"/>
      </w:pPr>
      <w:r>
        <w:rPr>
          <w:sz w:val="20"/>
        </w:rPr>
        <w:t xml:space="preserve">1. фамилия, имя, а также отчество (если иное не вытекает из закона или национального обычая),</w:t>
      </w:r>
    </w:p>
    <w:p>
      <w:pPr>
        <w:pStyle w:val="0"/>
        <w:spacing w:before="200" w:lineRule="auto"/>
        <w:ind w:firstLine="540"/>
        <w:jc w:val="both"/>
      </w:pPr>
      <w:r>
        <w:rPr>
          <w:sz w:val="20"/>
        </w:rPr>
        <w:t xml:space="preserve">2. гражданство,</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реквизиты документа, удостоверяющего личность,</w:t>
      </w:r>
    </w:p>
    <w:p>
      <w:pPr>
        <w:pStyle w:val="0"/>
        <w:spacing w:before="200" w:lineRule="auto"/>
        <w:ind w:firstLine="540"/>
        <w:jc w:val="both"/>
      </w:pPr>
      <w:r>
        <w:rPr>
          <w:sz w:val="20"/>
        </w:rPr>
        <w:t xml:space="preserve">5.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w:t>
      </w:r>
    </w:p>
    <w:p>
      <w:pPr>
        <w:pStyle w:val="0"/>
        <w:spacing w:before="200" w:lineRule="auto"/>
        <w:ind w:firstLine="540"/>
        <w:jc w:val="both"/>
      </w:pPr>
      <w:r>
        <w:rPr>
          <w:sz w:val="20"/>
        </w:rPr>
        <w:t xml:space="preserve">6. адрес места жительства (регистрации) или места пребывания,</w:t>
      </w:r>
    </w:p>
    <w:p>
      <w:pPr>
        <w:pStyle w:val="0"/>
        <w:spacing w:before="200" w:lineRule="auto"/>
        <w:ind w:firstLine="540"/>
        <w:jc w:val="both"/>
      </w:pPr>
      <w:r>
        <w:rPr>
          <w:sz w:val="20"/>
        </w:rPr>
        <w:t xml:space="preserve">7. идентификационный номер налогоплательщика (при его наличии).</w:t>
      </w:r>
    </w:p>
    <w:p>
      <w:pPr>
        <w:pStyle w:val="0"/>
        <w:spacing w:before="200" w:lineRule="auto"/>
        <w:ind w:firstLine="540"/>
        <w:jc w:val="both"/>
      </w:pPr>
      <w:r>
        <w:rPr>
          <w:sz w:val="20"/>
        </w:rPr>
        <w:t xml:space="preserve">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history="0" r:id="rId2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подпунктом 5 пункта 1 статьи 7</w:t>
        </w:r>
      </w:hyperlink>
      <w:r>
        <w:rPr>
          <w:sz w:val="20"/>
        </w:rPr>
        <w:t xml:space="preserve"> Федерального закона N 115-ФЗ) в случае принятия на обслуживание клиентов, являющихся:</w:t>
      </w:r>
    </w:p>
    <w:p>
      <w:pPr>
        <w:pStyle w:val="0"/>
        <w:spacing w:before="200" w:lineRule="auto"/>
        <w:ind w:firstLine="540"/>
        <w:jc w:val="both"/>
      </w:pPr>
      <w:r>
        <w:rPr>
          <w:sz w:val="20"/>
        </w:rPr>
        <w:t xml:space="preserve">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Органы законодательной и исполнительной власти (Совет Федераций при Федеральном Собрании и Государственная Дума, Правительство Российской Федерации, суды Российской Федерации, федеральные органы исполнительной власти, правоохранительные органы, воинские подразделения, органы государственной власти субъектов РФ (республики, края, области, города федерального значения, автономные области, автономные округа и т.д.);</w:t>
      </w:r>
    </w:p>
    <w:p>
      <w:pPr>
        <w:pStyle w:val="0"/>
        <w:spacing w:before="200" w:lineRule="auto"/>
        <w:ind w:firstLine="540"/>
        <w:jc w:val="both"/>
      </w:pPr>
      <w:r>
        <w:rPr>
          <w:sz w:val="20"/>
        </w:rPr>
        <w:t xml:space="preserve">органы местного самоуправления - выборные и другие органы, наделенные полномочиями на решение вопросов местного значения и не входящие в систему органов государственной власти (органы управления муниципальных районов, сельских поселений, городских поселений, городских округов и т.д.);</w:t>
      </w:r>
    </w:p>
    <w:p>
      <w:pPr>
        <w:pStyle w:val="0"/>
        <w:spacing w:before="200" w:lineRule="auto"/>
        <w:ind w:firstLine="540"/>
        <w:jc w:val="both"/>
      </w:pPr>
      <w:r>
        <w:rPr>
          <w:sz w:val="20"/>
        </w:rPr>
        <w:t xml:space="preserve">учреждения, находящиеся в ведении вышеуказанных структур - организации, создаваемые для управленческих, социально-культурных или иных функций некоммерческого характера - больница, школа и т.д.;</w:t>
      </w:r>
    </w:p>
    <w:p>
      <w:pPr>
        <w:pStyle w:val="0"/>
        <w:spacing w:before="200" w:lineRule="auto"/>
        <w:ind w:firstLine="540"/>
        <w:jc w:val="both"/>
      </w:pPr>
      <w:r>
        <w:rPr>
          <w:sz w:val="20"/>
        </w:rPr>
        <w:t xml:space="preserve">государственные внебюджетные фонды - фонд денежных средств, образуемый вне федерального бюджета и бюджетов субъектов РФ и предназначенный для реализации конституционных прав граждан на пенсионное обеспечение, социальное страхование, охрану здоровья и медицинскую помощь (Пенсионный фонд РФ, Фонд социального страхования РФ, Федеральный фонд обязательного медицинского страхования и т.д.);</w:t>
      </w:r>
    </w:p>
    <w:p>
      <w:pPr>
        <w:pStyle w:val="0"/>
        <w:spacing w:before="200" w:lineRule="auto"/>
        <w:ind w:firstLine="540"/>
        <w:jc w:val="both"/>
      </w:pPr>
      <w:r>
        <w:rPr>
          <w:sz w:val="20"/>
        </w:rPr>
        <w:t xml:space="preserve">государственные корпорации.</w:t>
      </w:r>
    </w:p>
    <w:p>
      <w:pPr>
        <w:pStyle w:val="0"/>
        <w:jc w:val="both"/>
      </w:pPr>
      <w:r>
        <w:rPr>
          <w:sz w:val="20"/>
        </w:rPr>
      </w:r>
    </w:p>
    <w:p>
      <w:pPr>
        <w:pStyle w:val="0"/>
        <w:ind w:firstLine="540"/>
        <w:jc w:val="both"/>
      </w:pPr>
      <w:r>
        <w:rPr>
          <w:sz w:val="20"/>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ООН, ВТО, Интерпол, МАГАТЭ, МВФ, и т.д.</w:t>
      </w:r>
    </w:p>
    <w:p>
      <w:pPr>
        <w:pStyle w:val="0"/>
        <w:jc w:val="both"/>
      </w:pPr>
      <w:r>
        <w:rPr>
          <w:sz w:val="20"/>
        </w:rPr>
      </w:r>
    </w:p>
    <w:p>
      <w:pPr>
        <w:pStyle w:val="0"/>
        <w:ind w:firstLine="540"/>
        <w:jc w:val="both"/>
      </w:pPr>
      <w:r>
        <w:rPr>
          <w:sz w:val="20"/>
        </w:rPr>
        <w:t xml:space="preserve">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Раскрытие информации осуществляется в соответствии с </w:t>
      </w:r>
      <w:hyperlink w:history="0" r:id="rId24" w:tooltip="Федеральный закон от 22.04.1996 N 39-ФЗ (ред. от 27.10.2025) &quot;О рынке ценных бумаг&quot; {КонсультантПлюс}">
        <w:r>
          <w:rPr>
            <w:sz w:val="20"/>
            <w:color w:val="0000ff"/>
          </w:rPr>
          <w:t xml:space="preserve">пунктом 4 статьи 30</w:t>
        </w:r>
      </w:hyperlink>
      <w:r>
        <w:rPr>
          <w:sz w:val="20"/>
        </w:rPr>
        <w:t xml:space="preserve"> Федерального закона от 22.04.1996 N 39-ФЗ "О рынке ценных бумаг".</w:t>
      </w:r>
    </w:p>
    <w:p>
      <w:pPr>
        <w:pStyle w:val="0"/>
        <w:jc w:val="both"/>
      </w:pPr>
      <w:r>
        <w:rPr>
          <w:sz w:val="20"/>
        </w:rPr>
      </w:r>
    </w:p>
    <w:p>
      <w:pPr>
        <w:pStyle w:val="0"/>
        <w:ind w:firstLine="540"/>
        <w:jc w:val="both"/>
      </w:pPr>
      <w:r>
        <w:rPr>
          <w:sz w:val="20"/>
        </w:rPr>
        <w:t xml:space="preserve">иностранными организациями, ценные бумаги которых прошли процедуру листинга на иностранной бирже, входящей в перечень, утвержденный Банком России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Публикуется на официальном сайте ЦБ РФ </w:t>
      </w:r>
      <w:hyperlink w:history="0" r:id="rId25">
        <w:r>
          <w:rPr>
            <w:sz w:val="20"/>
            <w:color w:val="0000ff"/>
          </w:rPr>
          <w:t xml:space="preserve">www.cbr.ru</w:t>
        </w:r>
      </w:hyperlink>
      <w:r>
        <w:rPr>
          <w:sz w:val="20"/>
        </w:rPr>
        <w:t xml:space="preserve">.</w:t>
      </w:r>
    </w:p>
    <w:p>
      <w:pPr>
        <w:pStyle w:val="0"/>
        <w:jc w:val="both"/>
      </w:pPr>
      <w:r>
        <w:rPr>
          <w:sz w:val="20"/>
        </w:rPr>
      </w:r>
    </w:p>
    <w:p>
      <w:pPr>
        <w:pStyle w:val="0"/>
        <w:ind w:firstLine="540"/>
        <w:jc w:val="both"/>
      </w:pPr>
      <w:r>
        <w:rPr>
          <w:sz w:val="20"/>
        </w:rPr>
        <w:t xml:space="preserve">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pPr>
        <w:pStyle w:val="0"/>
        <w:spacing w:before="200" w:lineRule="auto"/>
        <w:ind w:firstLine="540"/>
        <w:jc w:val="both"/>
      </w:pPr>
      <w:r>
        <w:rPr>
          <w:sz w:val="20"/>
        </w:rPr>
        <w:t xml:space="preserve">При этом в анкете клиента также следует фиксировать сведения о принятых субъектом мерах по идентификации физического лица в качестве бенефициарного владельца клиента и их результатах, а также сведения о бенефициарном владельце, представленные клиентом, и сведения о бенефициарном владельце клиента, установленные организацией.</w:t>
      </w:r>
    </w:p>
    <w:p>
      <w:pPr>
        <w:pStyle w:val="0"/>
        <w:spacing w:before="200" w:lineRule="auto"/>
        <w:ind w:firstLine="540"/>
        <w:jc w:val="both"/>
      </w:pPr>
      <w:r>
        <w:rPr>
          <w:sz w:val="20"/>
        </w:rPr>
        <w:t xml:space="preserve">Кроме того, при идентификации бенефициарного владельца необходимо с использованием личного кабинета осуществлять проверку факта о наличии/отсутствии в отношении бенефициарного владельца клиента сведений в перечне организаций и физических лиц, в отношении которых имеются сведения об их участии в экстремистской деятельности, о наличии принятых межведомственным координационным органом, осуществляющим функции по противодействию финансированию терроризма решений о замораживании (блокировании) денежных средств или иного имущества, а также о наличии/отсутствии информации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0"/>
        <w:jc w:val="both"/>
      </w:pPr>
      <w:r>
        <w:rPr>
          <w:sz w:val="20"/>
        </w:rPr>
      </w:r>
    </w:p>
    <w:p>
      <w:pPr>
        <w:pStyle w:val="2"/>
        <w:outlineLvl w:val="2"/>
        <w:ind w:firstLine="540"/>
        <w:jc w:val="both"/>
      </w:pPr>
      <w:r>
        <w:rPr>
          <w:sz w:val="20"/>
        </w:rPr>
        <w:t xml:space="preserve">3. Обновление информации о бенефициарном владельце клиента</w:t>
      </w:r>
    </w:p>
    <w:p>
      <w:pPr>
        <w:pStyle w:val="0"/>
        <w:spacing w:before="200" w:lineRule="auto"/>
        <w:ind w:firstLine="540"/>
        <w:jc w:val="both"/>
      </w:pPr>
      <w:r>
        <w:rPr>
          <w:sz w:val="20"/>
        </w:rPr>
        <w:t xml:space="preserve">В соответствии с положениями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0"/>
            <w:color w:val="0000ff"/>
          </w:rPr>
          <w:t xml:space="preserve">подпункта 3 пункта 1 статьи 7</w:t>
        </w:r>
      </w:hyperlink>
      <w:r>
        <w:rPr>
          <w:sz w:val="20"/>
        </w:rPr>
        <w:t xml:space="preserve"> Федерального закона N 115-ФЗ субъект первичного финансового мониторинга обязан обновлять информацию о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pPr>
        <w:pStyle w:val="0"/>
        <w:spacing w:before="200" w:lineRule="auto"/>
        <w:ind w:firstLine="540"/>
        <w:jc w:val="both"/>
      </w:pPr>
      <w:r>
        <w:rPr>
          <w:sz w:val="20"/>
        </w:rPr>
        <w:t xml:space="preserve">Обновление информации целесообразно проводить следующим образом:</w:t>
      </w:r>
    </w:p>
    <w:p>
      <w:pPr>
        <w:pStyle w:val="0"/>
        <w:spacing w:before="200" w:lineRule="auto"/>
        <w:ind w:firstLine="540"/>
        <w:jc w:val="both"/>
      </w:pPr>
      <w:r>
        <w:rPr>
          <w:sz w:val="20"/>
        </w:rPr>
        <w:t xml:space="preserve">а) включение в договор с клиентом обязанности последнего обновлять сведения о своих бенефициарах владельцах в установленный срок,</w:t>
      </w:r>
    </w:p>
    <w:p>
      <w:pPr>
        <w:pStyle w:val="0"/>
        <w:spacing w:before="200" w:lineRule="auto"/>
        <w:ind w:firstLine="540"/>
        <w:jc w:val="both"/>
      </w:pPr>
      <w:r>
        <w:rPr>
          <w:sz w:val="20"/>
        </w:rPr>
        <w:t xml:space="preserve">б) анкетирование клиента (направление клиенту запроса о предоставлении обновленных сведений о бенефициарных владельцах с учетом перечня сведений, необходимых для идентификации бенефициарного владельца).</w:t>
      </w:r>
    </w:p>
    <w:p>
      <w:pPr>
        <w:pStyle w:val="0"/>
        <w:spacing w:before="200" w:lineRule="auto"/>
        <w:ind w:firstLine="540"/>
        <w:jc w:val="both"/>
      </w:pPr>
      <w:r>
        <w:rPr>
          <w:sz w:val="20"/>
        </w:rPr>
        <w:t xml:space="preserve">Факт обновления сведений о бенефициарном владельце фиксируется в анкете клиента или бенефициарного владельца клиента (в зависимости от порядка, предусмотренного правилами внутреннего контроля) с указанием даты проведения обновления и подписи лица, осуществившего обновление сведений в указанной анкете.</w:t>
      </w:r>
    </w:p>
    <w:p>
      <w:pPr>
        <w:pStyle w:val="0"/>
        <w:spacing w:before="200" w:lineRule="auto"/>
        <w:ind w:firstLine="540"/>
        <w:jc w:val="both"/>
      </w:pPr>
      <w:r>
        <w:rPr>
          <w:sz w:val="20"/>
        </w:rPr>
        <w:t xml:space="preserve">При необходимости к анкете прикладывается переписка с клиентом, подтверждающая обновление сведений.</w:t>
      </w:r>
    </w:p>
    <w:p>
      <w:pPr>
        <w:pStyle w:val="0"/>
        <w:jc w:val="both"/>
      </w:pPr>
      <w:r>
        <w:rPr>
          <w:sz w:val="20"/>
        </w:rPr>
      </w:r>
    </w:p>
    <w:p>
      <w:pPr>
        <w:pStyle w:val="2"/>
        <w:outlineLvl w:val="1"/>
        <w:jc w:val="center"/>
      </w:pPr>
      <w:r>
        <w:rPr>
          <w:sz w:val="20"/>
        </w:rPr>
        <w:t xml:space="preserve">III. Бенефициарное владение и оценка рисков ОД/ФТ</w:t>
      </w:r>
    </w:p>
    <w:p>
      <w:pPr>
        <w:pStyle w:val="0"/>
        <w:jc w:val="both"/>
      </w:pPr>
      <w:r>
        <w:rPr>
          <w:sz w:val="20"/>
        </w:rPr>
      </w:r>
    </w:p>
    <w:p>
      <w:pPr>
        <w:pStyle w:val="0"/>
        <w:ind w:firstLine="540"/>
        <w:jc w:val="both"/>
      </w:pPr>
      <w:r>
        <w:rPr>
          <w:sz w:val="20"/>
        </w:rPr>
        <w:t xml:space="preserve">В рамках мероприятий по оценке рисков ОД/ФТ своих клиентов субъекту следует принять меры по определению структуры бенефициарного владения клиента и получить информацию о каждом уровне этой структуры. Бенефициарный владелец - не обязательно один человек, это может быть несколько фактических владельцев в структуре собственности. Выявление сложной схемы с несколькими уровнями владения, для которых нет соответствующего явного объяснения, может свидетельствовать, что такая сложная структура используется с целью сокрытия бенефициарного владельца (бенефициарных владельцев).</w:t>
      </w:r>
    </w:p>
    <w:p>
      <w:pPr>
        <w:pStyle w:val="0"/>
        <w:spacing w:before="200" w:lineRule="auto"/>
        <w:ind w:firstLine="540"/>
        <w:jc w:val="both"/>
      </w:pPr>
      <w:r>
        <w:rPr>
          <w:sz w:val="20"/>
        </w:rPr>
        <w:t xml:space="preserve">Кроме того, Рекомендации ФАТФ требуют в рамках имеющейся системы управления рисками получения информации о том, является ли бенефициарный владелец публичным должностным лицом (далее - ПДЛ).</w:t>
      </w:r>
    </w:p>
    <w:p>
      <w:pPr>
        <w:pStyle w:val="0"/>
        <w:spacing w:before="200" w:lineRule="auto"/>
        <w:ind w:firstLine="540"/>
        <w:jc w:val="both"/>
      </w:pPr>
      <w:r>
        <w:rPr>
          <w:sz w:val="20"/>
        </w:rPr>
        <w:t xml:space="preserve">При работе с клиентом, бенефициарным владельцем которого является ПДЛ, субъекту рекомендуется:</w:t>
      </w:r>
    </w:p>
    <w:p>
      <w:pPr>
        <w:pStyle w:val="0"/>
        <w:spacing w:before="200" w:lineRule="auto"/>
        <w:ind w:firstLine="540"/>
        <w:jc w:val="both"/>
      </w:pPr>
      <w:r>
        <w:rPr>
          <w:sz w:val="20"/>
        </w:rPr>
        <w:t xml:space="preserve">а) определить источник благосостояния и источник происхождения денежных средств клиента,</w:t>
      </w:r>
    </w:p>
    <w:p>
      <w:pPr>
        <w:pStyle w:val="0"/>
        <w:spacing w:before="200" w:lineRule="auto"/>
        <w:ind w:firstLine="540"/>
        <w:jc w:val="both"/>
      </w:pPr>
      <w:r>
        <w:rPr>
          <w:sz w:val="20"/>
        </w:rPr>
        <w:t xml:space="preserve">б) проводить текущий и усиленный мониторинг в отношении этого клиента и деловых отношений с ним.</w:t>
      </w:r>
    </w:p>
    <w:p>
      <w:pPr>
        <w:pStyle w:val="0"/>
        <w:spacing w:before="200" w:lineRule="auto"/>
        <w:ind w:firstLine="540"/>
        <w:jc w:val="both"/>
      </w:pPr>
      <w:r>
        <w:rPr>
          <w:sz w:val="20"/>
        </w:rPr>
        <w:t xml:space="preserve">Кроме того, фактором, существенно повышающим риск клиента, является нежелание предоставлять информацию о своих бенефициарных владельцах или задержки с предоставлением такой информации.</w:t>
      </w:r>
    </w:p>
    <w:p>
      <w:pPr>
        <w:pStyle w:val="0"/>
        <w:spacing w:before="200" w:lineRule="auto"/>
        <w:ind w:firstLine="540"/>
        <w:jc w:val="both"/>
      </w:pPr>
      <w:r>
        <w:rPr>
          <w:sz w:val="20"/>
        </w:rPr>
        <w:t xml:space="preserve">Также повышенного внимания требуют клиенты, бенефициарные владельцы которых являются нерезидентами, особенно резидентами юрисдикций, предоставляющих льготный налоговый режим, а также стран, не выполняющих рекомендации ФАТФ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27"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юс}">
        <w:r>
          <w:rPr>
            <w:sz w:val="20"/>
            <w:color w:val="0000ff"/>
          </w:rPr>
          <w:t xml:space="preserve">Приказ</w:t>
        </w:r>
      </w:hyperlink>
      <w:r>
        <w:rPr>
          <w:sz w:val="20"/>
        </w:rPr>
        <w:t xml:space="preserve"> Росфинмониторинга от 10.11.2011 N 361 "Об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Информационное письмо Росфинмониторинга от 04.12.2018 N 57</w:t>
            <w:br/>
            <w:t>"О методических рекомендациях по установлению сведений о бене...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316&amp;dst=100029" TargetMode = "External"/><Relationship Id="rId9" Type="http://schemas.openxmlformats.org/officeDocument/2006/relationships/hyperlink" Target="https://login.consultant.ru/link/?req=doc&amp;base=LAW&amp;n=502316&amp;dst=100244" TargetMode = "External"/><Relationship Id="rId10" Type="http://schemas.openxmlformats.org/officeDocument/2006/relationships/hyperlink" Target="https://login.consultant.ru/link/?req=doc&amp;base=LAW&amp;n=502316&amp;dst=100029" TargetMode = "External"/><Relationship Id="rId11" Type="http://schemas.openxmlformats.org/officeDocument/2006/relationships/hyperlink" Target="https://login.consultant.ru/link/?req=doc&amp;base=LAW&amp;n=502316" TargetMode = "External"/><Relationship Id="rId12" Type="http://schemas.openxmlformats.org/officeDocument/2006/relationships/hyperlink" Target="https://login.consultant.ru/link/?req=doc&amp;base=LAW&amp;n=502316&amp;dst=100245" TargetMode = "External"/><Relationship Id="rId13" Type="http://schemas.openxmlformats.org/officeDocument/2006/relationships/hyperlink" Target="https://login.consultant.ru/link/?req=doc&amp;base=LAW&amp;n=502316&amp;dst=100393" TargetMode = "External"/><Relationship Id="rId14" Type="http://schemas.openxmlformats.org/officeDocument/2006/relationships/hyperlink" Target="https://login.consultant.ru/link/?req=doc&amp;base=LAW&amp;n=502316&amp;dst=180" TargetMode = "External"/><Relationship Id="rId15" Type="http://schemas.openxmlformats.org/officeDocument/2006/relationships/hyperlink" Target="https://login.consultant.ru/link/?req=doc&amp;base=LAW&amp;n=508490&amp;dst=100098" TargetMode = "External"/><Relationship Id="rId16" Type="http://schemas.openxmlformats.org/officeDocument/2006/relationships/hyperlink" Target="https://login.consultant.ru/link/?req=doc&amp;base=LAW&amp;n=502316&amp;dst=212" TargetMode = "External"/><Relationship Id="rId17" Type="http://schemas.openxmlformats.org/officeDocument/2006/relationships/hyperlink" Target="https://login.consultant.ru/link/?req=doc&amp;base=LAW&amp;n=502316" TargetMode = "External"/><Relationship Id="rId18" Type="http://schemas.openxmlformats.org/officeDocument/2006/relationships/hyperlink" Target="https://login.consultant.ru/link/?req=doc&amp;base=LAW&amp;n=502316&amp;dst=100393" TargetMode = "External"/><Relationship Id="rId19" Type="http://schemas.openxmlformats.org/officeDocument/2006/relationships/hyperlink" Target="https://login.consultant.ru/link/?req=doc&amp;base=LAW&amp;n=502316" TargetMode = "External"/><Relationship Id="rId20" Type="http://schemas.openxmlformats.org/officeDocument/2006/relationships/hyperlink" Target="https://login.consultant.ru/link/?req=doc&amp;base=LAW&amp;n=502316&amp;dst=100390" TargetMode = "External"/><Relationship Id="rId21" Type="http://schemas.openxmlformats.org/officeDocument/2006/relationships/hyperlink" Target="https://login.consultant.ru/link/?req=doc&amp;base=LAW&amp;n=502316&amp;dst=302" TargetMode = "External"/><Relationship Id="rId22" Type="http://schemas.openxmlformats.org/officeDocument/2006/relationships/hyperlink" Target="https://login.consultant.ru/link/?req=doc&amp;base=LAW&amp;n=502316" TargetMode = "External"/><Relationship Id="rId23" Type="http://schemas.openxmlformats.org/officeDocument/2006/relationships/hyperlink" Target="https://login.consultant.ru/link/?req=doc&amp;base=LAW&amp;n=502316&amp;dst=100305" TargetMode = "External"/><Relationship Id="rId24" Type="http://schemas.openxmlformats.org/officeDocument/2006/relationships/hyperlink" Target="https://login.consultant.ru/link/?req=doc&amp;base=LAW&amp;n=517491&amp;dst=1282" TargetMode = "External"/><Relationship Id="rId25" Type="http://schemas.openxmlformats.org/officeDocument/2006/relationships/hyperlink" Target="www.cbr.ru" TargetMode = "External"/><Relationship Id="rId26" Type="http://schemas.openxmlformats.org/officeDocument/2006/relationships/hyperlink" Target="https://login.consultant.ru/link/?req=doc&amp;base=LAW&amp;n=502316&amp;dst=161" TargetMode = "External"/><Relationship Id="rId27" Type="http://schemas.openxmlformats.org/officeDocument/2006/relationships/hyperlink" Target="https://login.consultant.ru/link/?req=doc&amp;base=LAW&amp;n=12339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Росфинмониторинга от 04.12.2018 N 57
"О методических рекомендациях по установлению сведений о бенефициарных владельцах клиентов"</dc:title>
  <dcterms:created xsi:type="dcterms:W3CDTF">2025-11-09T08:46:13Z</dcterms:created>
</cp:coreProperties>
</file>